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D2E" w:rsidRDefault="004F5D2E" w:rsidP="004F5D2E">
      <w:pPr>
        <w:pStyle w:val="Caption"/>
        <w:keepNext/>
        <w:ind w:left="720"/>
      </w:pPr>
      <w:r>
        <w:rPr>
          <w:noProof/>
          <w:lang w:val="en-GB" w:eastAsia="en-GB"/>
        </w:rPr>
        <w:drawing>
          <wp:inline distT="0" distB="0" distL="0" distR="0" wp14:anchorId="4A4DD1BD" wp14:editId="26742C62">
            <wp:extent cx="5943600" cy="3260784"/>
            <wp:effectExtent l="0" t="0" r="19050" b="1587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F5D2E" w:rsidRPr="000D09C2" w:rsidRDefault="000D09C2" w:rsidP="004F5D2E">
      <w:pPr>
        <w:pStyle w:val="Caption"/>
        <w:rPr>
          <w:rFonts w:ascii="Times New Roman" w:hAnsi="Times New Roman" w:cs="Times New Roman"/>
          <w:iCs/>
          <w:color w:val="000000" w:themeColor="text1"/>
          <w:lang w:eastAsia="en-US"/>
        </w:rPr>
      </w:pPr>
      <w:proofErr w:type="gramStart"/>
      <w:r w:rsidRPr="001F3AB0">
        <w:rPr>
          <w:rFonts w:ascii="Times New Roman" w:hAnsi="Times New Roman" w:cs="Times New Roman"/>
          <w:iCs/>
          <w:color w:val="000000" w:themeColor="text1"/>
          <w:sz w:val="24"/>
          <w:szCs w:val="22"/>
          <w:lang w:eastAsia="en-US"/>
        </w:rPr>
        <w:t>Figure 5.</w:t>
      </w:r>
      <w:proofErr w:type="gramEnd"/>
      <w:r w:rsidRPr="001F3AB0">
        <w:rPr>
          <w:rFonts w:ascii="Times New Roman" w:hAnsi="Times New Roman" w:cs="Times New Roman"/>
          <w:iCs/>
          <w:color w:val="000000" w:themeColor="text1"/>
          <w:sz w:val="24"/>
          <w:szCs w:val="22"/>
          <w:lang w:eastAsia="en-US"/>
        </w:rPr>
        <w:t xml:space="preserve"> TBE Key risk groups: Number of TBE cases by age group and gender reported in 16 EU/EFTA countries, 2000–2010 (n=22,378</w:t>
      </w:r>
      <w:proofErr w:type="gramStart"/>
      <w:r w:rsidRPr="001F3AB0">
        <w:rPr>
          <w:rFonts w:ascii="Times New Roman" w:hAnsi="Times New Roman" w:cs="Times New Roman"/>
          <w:iCs/>
          <w:color w:val="000000" w:themeColor="text1"/>
          <w:sz w:val="24"/>
          <w:szCs w:val="22"/>
          <w:lang w:eastAsia="en-US"/>
        </w:rPr>
        <w:t>)</w:t>
      </w:r>
      <w:r w:rsidRPr="001F3AB0">
        <w:rPr>
          <w:rFonts w:ascii="Times New Roman" w:hAnsi="Times New Roman" w:cs="Times New Roman"/>
          <w:iCs/>
          <w:color w:val="000000" w:themeColor="text1"/>
          <w:sz w:val="20"/>
          <w:lang w:eastAsia="en-US"/>
        </w:rPr>
        <w:t xml:space="preserve">  </w:t>
      </w:r>
      <w:r w:rsidR="004F5D2E" w:rsidRPr="2F170611">
        <w:rPr>
          <w:rFonts w:ascii="Times New Roman" w:hAnsi="Times New Roman" w:cs="Times New Roman"/>
          <w:i/>
          <w:iCs/>
          <w:color w:val="000000" w:themeColor="text1"/>
          <w:lang w:eastAsia="en-US"/>
        </w:rPr>
        <w:t>Source</w:t>
      </w:r>
      <w:proofErr w:type="gramEnd"/>
      <w:r w:rsidR="004F5D2E" w:rsidRPr="2F170611">
        <w:rPr>
          <w:rFonts w:ascii="Times New Roman" w:hAnsi="Times New Roman" w:cs="Times New Roman"/>
          <w:i/>
          <w:iCs/>
          <w:color w:val="000000" w:themeColor="text1"/>
          <w:lang w:eastAsia="en-US"/>
        </w:rPr>
        <w:t>: Data</w:t>
      </w:r>
      <w:bookmarkStart w:id="0" w:name="_GoBack"/>
      <w:bookmarkEnd w:id="0"/>
      <w:r w:rsidR="004F5D2E" w:rsidRPr="2F170611">
        <w:rPr>
          <w:rFonts w:ascii="Times New Roman" w:hAnsi="Times New Roman" w:cs="Times New Roman"/>
          <w:i/>
          <w:iCs/>
          <w:color w:val="000000" w:themeColor="text1"/>
          <w:lang w:eastAsia="en-US"/>
        </w:rPr>
        <w:t xml:space="preserve"> from ECDC</w:t>
      </w:r>
      <w:r w:rsidR="004F5D2E" w:rsidRPr="2F170611">
        <w:rPr>
          <w:rFonts w:ascii="Times New Roman" w:hAnsi="Times New Roman" w:cs="Times New Roman"/>
          <w:i/>
          <w:iCs/>
        </w:rPr>
        <w:t xml:space="preserve"> (https://register.ecdc.europa.eu/)</w:t>
      </w:r>
    </w:p>
    <w:p w:rsidR="00E7225A" w:rsidRDefault="001F3AB0"/>
    <w:sectPr w:rsidR="00E72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D2E"/>
    <w:rsid w:val="000D09C2"/>
    <w:rsid w:val="001F3AB0"/>
    <w:rsid w:val="004F5D2E"/>
    <w:rsid w:val="009D18FA"/>
    <w:rsid w:val="00A6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F5D2E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F5D2E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'2000-14-working'!$C$33</c:f>
              <c:strCache>
                <c:ptCount val="1"/>
                <c:pt idx="0">
                  <c:v>Female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'2000-14-working'!$B$34:$B$40</c:f>
              <c:strCache>
                <c:ptCount val="7"/>
                <c:pt idx="0">
                  <c:v>0-9</c:v>
                </c:pt>
                <c:pt idx="1">
                  <c:v>10-19</c:v>
                </c:pt>
                <c:pt idx="2">
                  <c:v>20-29</c:v>
                </c:pt>
                <c:pt idx="3">
                  <c:v>30-39</c:v>
                </c:pt>
                <c:pt idx="4">
                  <c:v>40-49</c:v>
                </c:pt>
                <c:pt idx="5">
                  <c:v>50-59</c:v>
                </c:pt>
                <c:pt idx="6">
                  <c:v>60+</c:v>
                </c:pt>
              </c:strCache>
            </c:strRef>
          </c:cat>
          <c:val>
            <c:numRef>
              <c:f>'2000-14-working'!$C$34:$C$40</c:f>
              <c:numCache>
                <c:formatCode>General</c:formatCode>
                <c:ptCount val="7"/>
                <c:pt idx="0">
                  <c:v>443</c:v>
                </c:pt>
                <c:pt idx="1">
                  <c:v>797</c:v>
                </c:pt>
                <c:pt idx="2">
                  <c:v>930</c:v>
                </c:pt>
                <c:pt idx="3">
                  <c:v>1243</c:v>
                </c:pt>
                <c:pt idx="4">
                  <c:v>1594</c:v>
                </c:pt>
                <c:pt idx="5">
                  <c:v>1787</c:v>
                </c:pt>
                <c:pt idx="6">
                  <c:v>2240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26-4790-BAB7-BA407E9DD946}"/>
            </c:ext>
          </c:extLst>
        </c:ser>
        <c:ser>
          <c:idx val="1"/>
          <c:order val="1"/>
          <c:tx>
            <c:strRef>
              <c:f>'2000-14-working'!$D$33</c:f>
              <c:strCache>
                <c:ptCount val="1"/>
                <c:pt idx="0">
                  <c:v>Male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'2000-14-working'!$B$34:$B$40</c:f>
              <c:strCache>
                <c:ptCount val="7"/>
                <c:pt idx="0">
                  <c:v>0-9</c:v>
                </c:pt>
                <c:pt idx="1">
                  <c:v>10-19</c:v>
                </c:pt>
                <c:pt idx="2">
                  <c:v>20-29</c:v>
                </c:pt>
                <c:pt idx="3">
                  <c:v>30-39</c:v>
                </c:pt>
                <c:pt idx="4">
                  <c:v>40-49</c:v>
                </c:pt>
                <c:pt idx="5">
                  <c:v>50-59</c:v>
                </c:pt>
                <c:pt idx="6">
                  <c:v>60+</c:v>
                </c:pt>
              </c:strCache>
            </c:strRef>
          </c:cat>
          <c:val>
            <c:numRef>
              <c:f>'2000-14-working'!$D$34:$D$40</c:f>
              <c:numCache>
                <c:formatCode>General</c:formatCode>
                <c:ptCount val="7"/>
                <c:pt idx="0">
                  <c:v>572</c:v>
                </c:pt>
                <c:pt idx="1">
                  <c:v>1441</c:v>
                </c:pt>
                <c:pt idx="2">
                  <c:v>1666</c:v>
                </c:pt>
                <c:pt idx="3">
                  <c:v>2007</c:v>
                </c:pt>
                <c:pt idx="4">
                  <c:v>2476</c:v>
                </c:pt>
                <c:pt idx="5">
                  <c:v>2311</c:v>
                </c:pt>
                <c:pt idx="6">
                  <c:v>2871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826-4790-BAB7-BA407E9DD946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52697088"/>
        <c:axId val="265633792"/>
      </c:barChart>
      <c:catAx>
        <c:axId val="1526970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Age group</a:t>
                </a:r>
              </a:p>
            </c:rich>
          </c:tx>
          <c:overlay val="0"/>
        </c:title>
        <c:numFmt formatCode="General" sourceLinked="0"/>
        <c:majorTickMark val="none"/>
        <c:minorTickMark val="none"/>
        <c:tickLblPos val="nextTo"/>
        <c:crossAx val="265633792"/>
        <c:crosses val="autoZero"/>
        <c:auto val="1"/>
        <c:lblAlgn val="ctr"/>
        <c:lblOffset val="100"/>
        <c:noMultiLvlLbl val="0"/>
      </c:catAx>
      <c:valAx>
        <c:axId val="26563379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confirmed TBE cases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526970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</dc:creator>
  <cp:lastModifiedBy>MW</cp:lastModifiedBy>
  <cp:revision>3</cp:revision>
  <dcterms:created xsi:type="dcterms:W3CDTF">2021-03-16T10:08:00Z</dcterms:created>
  <dcterms:modified xsi:type="dcterms:W3CDTF">2021-04-02T09:04:00Z</dcterms:modified>
</cp:coreProperties>
</file>